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44BC7" w14:textId="77777777" w:rsidR="0054686C" w:rsidDel="0054686C" w:rsidRDefault="0054686C" w:rsidP="0054686C">
      <w:pPr>
        <w:shd w:val="clear" w:color="auto" w:fill="FFFFFF"/>
        <w:tabs>
          <w:tab w:val="num" w:pos="720"/>
        </w:tabs>
        <w:spacing w:before="120" w:after="120" w:line="312" w:lineRule="auto"/>
        <w:ind w:left="714" w:hanging="357"/>
        <w:jc w:val="right"/>
        <w:rPr>
          <w:rFonts w:ascii="Arial" w:hAnsi="Arial" w:cs="Arial"/>
          <w:b/>
          <w:bCs/>
          <w:sz w:val="24"/>
          <w:szCs w:val="24"/>
        </w:rPr>
      </w:pPr>
      <w:bookmarkStart w:id="0" w:name="_GoBack"/>
      <w:bookmarkEnd w:id="0"/>
    </w:p>
    <w:tbl>
      <w:tblPr>
        <w:tblStyle w:val="af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8"/>
      </w:tblGrid>
      <w:tr w:rsidR="0054686C" w:rsidRPr="007B74A2" w14:paraId="24E5EE95" w14:textId="77777777" w:rsidTr="00231BE6">
        <w:trPr>
          <w:trHeight w:val="426"/>
        </w:trPr>
        <w:tc>
          <w:tcPr>
            <w:tcW w:w="4253" w:type="dxa"/>
          </w:tcPr>
          <w:p w14:paraId="17ABC61F" w14:textId="77777777" w:rsidR="0054686C" w:rsidRPr="00295EFB" w:rsidRDefault="0054686C" w:rsidP="00231BE6">
            <w:pPr>
              <w:spacing w:before="60" w:after="60" w:line="312" w:lineRule="auto"/>
              <w:rPr>
                <w:rFonts w:ascii="Times New Roman" w:hAnsi="Times New Roman" w:cs="Times New Roman"/>
                <w:sz w:val="24"/>
                <w:szCs w:val="24"/>
              </w:rPr>
            </w:pPr>
            <w:r w:rsidRPr="00295EFB">
              <w:rPr>
                <w:sz w:val="24"/>
                <w:lang w:bidi="en-US"/>
              </w:rPr>
              <w:t>«[day]» [month] [year]</w:t>
            </w:r>
          </w:p>
        </w:tc>
        <w:tc>
          <w:tcPr>
            <w:tcW w:w="5098" w:type="dxa"/>
            <w:vAlign w:val="center"/>
          </w:tcPr>
          <w:p w14:paraId="33DC48E9" w14:textId="77777777" w:rsidR="0054686C" w:rsidRPr="00295EFB" w:rsidRDefault="0054686C" w:rsidP="00231BE6">
            <w:pPr>
              <w:spacing w:line="312" w:lineRule="auto"/>
              <w:ind w:left="-105"/>
              <w:jc w:val="right"/>
              <w:rPr>
                <w:rFonts w:ascii="Times New Roman" w:hAnsi="Times New Roman" w:cs="Times New Roman"/>
                <w:sz w:val="24"/>
                <w:szCs w:val="24"/>
              </w:rPr>
            </w:pPr>
            <w:r w:rsidRPr="00295EFB">
              <w:rPr>
                <w:sz w:val="24"/>
                <w:lang w:bidi="en-US"/>
              </w:rPr>
              <w:t>To Evrofinance Mosnarbank</w:t>
            </w:r>
          </w:p>
        </w:tc>
      </w:tr>
    </w:tbl>
    <w:p w14:paraId="2511AC17" w14:textId="035A4530" w:rsidR="0054686C" w:rsidRPr="00295EFB" w:rsidRDefault="0054686C" w:rsidP="00295EFB">
      <w:pPr>
        <w:shd w:val="clear" w:color="auto" w:fill="FFFFFF"/>
        <w:tabs>
          <w:tab w:val="num" w:pos="720"/>
        </w:tabs>
        <w:spacing w:before="120" w:after="120" w:line="312" w:lineRule="auto"/>
        <w:ind w:left="714" w:hanging="357"/>
        <w:jc w:val="right"/>
        <w:rPr>
          <w:rFonts w:ascii="Times New Roman" w:hAnsi="Times New Roman" w:cs="Times New Roman"/>
          <w:b/>
          <w:bCs/>
          <w:sz w:val="24"/>
          <w:szCs w:val="24"/>
        </w:rPr>
      </w:pPr>
    </w:p>
    <w:p w14:paraId="75C76ACC" w14:textId="77777777" w:rsidR="0054686C" w:rsidRPr="00295EFB" w:rsidRDefault="0054686C" w:rsidP="006A09BF">
      <w:pPr>
        <w:shd w:val="clear" w:color="auto" w:fill="FFFFFF"/>
        <w:tabs>
          <w:tab w:val="num" w:pos="720"/>
        </w:tabs>
        <w:spacing w:before="120" w:after="120" w:line="312" w:lineRule="auto"/>
        <w:ind w:left="714" w:hanging="357"/>
        <w:jc w:val="center"/>
        <w:rPr>
          <w:rFonts w:ascii="Times New Roman" w:hAnsi="Times New Roman" w:cs="Times New Roman"/>
          <w:b/>
          <w:bCs/>
          <w:sz w:val="24"/>
          <w:szCs w:val="24"/>
        </w:rPr>
      </w:pPr>
    </w:p>
    <w:p w14:paraId="7E648BD8" w14:textId="6ECE2752" w:rsidR="00C2771E" w:rsidRPr="00295EFB" w:rsidRDefault="00E41BA5" w:rsidP="006A09BF">
      <w:pPr>
        <w:shd w:val="clear" w:color="auto" w:fill="FFFFFF"/>
        <w:tabs>
          <w:tab w:val="num" w:pos="720"/>
        </w:tabs>
        <w:spacing w:before="120" w:after="120" w:line="312" w:lineRule="auto"/>
        <w:ind w:left="714" w:hanging="357"/>
        <w:jc w:val="center"/>
        <w:rPr>
          <w:rFonts w:ascii="Times New Roman" w:hAnsi="Times New Roman" w:cs="Times New Roman"/>
          <w:b/>
          <w:bCs/>
          <w:sz w:val="24"/>
          <w:szCs w:val="24"/>
        </w:rPr>
      </w:pPr>
      <w:r w:rsidRPr="00295EFB">
        <w:rPr>
          <w:b/>
          <w:sz w:val="24"/>
          <w:lang w:bidi="en-US"/>
        </w:rPr>
        <w:t>DESCRIPTION OF THE ISSUER'S ACTIVITY [NAME]</w:t>
      </w:r>
    </w:p>
    <w:p w14:paraId="7E648BD9" w14:textId="77777777" w:rsidR="00FC7EEB" w:rsidRPr="00295EFB" w:rsidRDefault="00E41BA5" w:rsidP="00A74734">
      <w:pPr>
        <w:pStyle w:val="a3"/>
        <w:numPr>
          <w:ilvl w:val="0"/>
          <w:numId w:val="7"/>
        </w:numPr>
        <w:tabs>
          <w:tab w:val="left" w:pos="3668"/>
        </w:tabs>
        <w:spacing w:before="120" w:after="120" w:line="312" w:lineRule="auto"/>
        <w:contextualSpacing w:val="0"/>
        <w:jc w:val="both"/>
        <w:rPr>
          <w:rFonts w:ascii="Times New Roman" w:hAnsi="Times New Roman" w:cs="Times New Roman"/>
          <w:b/>
          <w:sz w:val="24"/>
          <w:szCs w:val="24"/>
        </w:rPr>
      </w:pPr>
      <w:r w:rsidRPr="00295EFB">
        <w:rPr>
          <w:b/>
          <w:sz w:val="24"/>
          <w:lang w:bidi="en-US"/>
        </w:rPr>
        <w:t xml:space="preserve">General Information about the issuer: </w:t>
      </w:r>
    </w:p>
    <w:p w14:paraId="7E648BDA" w14:textId="77777777" w:rsidR="00FC7EEB" w:rsidRPr="00295EFB" w:rsidRDefault="00E41BA5" w:rsidP="00A74734">
      <w:pPr>
        <w:pStyle w:val="a3"/>
        <w:numPr>
          <w:ilvl w:val="1"/>
          <w:numId w:val="8"/>
        </w:numPr>
        <w:tabs>
          <w:tab w:val="left" w:pos="3668"/>
        </w:tabs>
        <w:spacing w:before="120" w:after="120" w:line="312" w:lineRule="auto"/>
        <w:ind w:left="1276" w:hanging="567"/>
        <w:contextualSpacing w:val="0"/>
        <w:jc w:val="both"/>
        <w:rPr>
          <w:rFonts w:ascii="Times New Roman" w:hAnsi="Times New Roman" w:cs="Times New Roman"/>
          <w:sz w:val="24"/>
          <w:szCs w:val="24"/>
        </w:rPr>
      </w:pPr>
      <w:r w:rsidRPr="00295EFB">
        <w:rPr>
          <w:sz w:val="24"/>
          <w:lang w:bidi="en-US"/>
        </w:rPr>
        <w:t>Brief profile of the issuer, including its establishment history and key developmental milestones, along with the web address where corporate documents are available;</w:t>
      </w:r>
    </w:p>
    <w:p w14:paraId="7E648BDB" w14:textId="77777777" w:rsidR="00FC7EEB" w:rsidRPr="00295EFB" w:rsidRDefault="00E41BA5" w:rsidP="00A74734">
      <w:pPr>
        <w:pStyle w:val="a3"/>
        <w:numPr>
          <w:ilvl w:val="1"/>
          <w:numId w:val="8"/>
        </w:numPr>
        <w:tabs>
          <w:tab w:val="left" w:pos="3668"/>
        </w:tabs>
        <w:spacing w:before="120" w:after="120" w:line="312" w:lineRule="auto"/>
        <w:ind w:left="1276" w:hanging="567"/>
        <w:contextualSpacing w:val="0"/>
        <w:jc w:val="both"/>
        <w:rPr>
          <w:rFonts w:ascii="Times New Roman" w:hAnsi="Times New Roman" w:cs="Times New Roman"/>
          <w:sz w:val="24"/>
          <w:szCs w:val="24"/>
        </w:rPr>
      </w:pPr>
      <w:r w:rsidRPr="00295EFB">
        <w:rPr>
          <w:sz w:val="24"/>
          <w:lang w:bidi="en-US"/>
        </w:rPr>
        <w:t>Strategy and development plans of the issuer's operations;</w:t>
      </w:r>
    </w:p>
    <w:p w14:paraId="7E648BDC" w14:textId="77777777" w:rsidR="00FC7EEB" w:rsidRPr="00295EFB" w:rsidRDefault="00E41BA5" w:rsidP="00A74734">
      <w:pPr>
        <w:pStyle w:val="a3"/>
        <w:numPr>
          <w:ilvl w:val="1"/>
          <w:numId w:val="8"/>
        </w:numPr>
        <w:tabs>
          <w:tab w:val="left" w:pos="3668"/>
        </w:tabs>
        <w:spacing w:before="120" w:after="120" w:line="312" w:lineRule="auto"/>
        <w:ind w:left="1276" w:hanging="567"/>
        <w:contextualSpacing w:val="0"/>
        <w:jc w:val="both"/>
        <w:rPr>
          <w:rFonts w:ascii="Times New Roman" w:hAnsi="Times New Roman" w:cs="Times New Roman"/>
          <w:sz w:val="24"/>
          <w:szCs w:val="24"/>
        </w:rPr>
      </w:pPr>
      <w:r w:rsidRPr="00295EFB">
        <w:rPr>
          <w:sz w:val="24"/>
          <w:lang w:bidi="en-US"/>
        </w:rPr>
        <w:t>Market and competitive positioning of the issuer (scale of operations, geographic presence, business diversification, specialization, and competitors). The issuer's competitors;</w:t>
      </w:r>
    </w:p>
    <w:p w14:paraId="7E648BDD" w14:textId="77777777" w:rsidR="00FC7EEB" w:rsidRPr="00295EFB" w:rsidRDefault="00E41BA5" w:rsidP="00A74734">
      <w:pPr>
        <w:pStyle w:val="a3"/>
        <w:numPr>
          <w:ilvl w:val="1"/>
          <w:numId w:val="8"/>
        </w:numPr>
        <w:tabs>
          <w:tab w:val="left" w:pos="3668"/>
        </w:tabs>
        <w:spacing w:before="120" w:after="120" w:line="312" w:lineRule="auto"/>
        <w:ind w:left="1276" w:hanging="567"/>
        <w:contextualSpacing w:val="0"/>
        <w:jc w:val="both"/>
        <w:rPr>
          <w:rFonts w:ascii="Times New Roman" w:hAnsi="Times New Roman" w:cs="Times New Roman"/>
          <w:sz w:val="24"/>
          <w:szCs w:val="24"/>
        </w:rPr>
      </w:pPr>
      <w:r w:rsidRPr="00295EFB">
        <w:rPr>
          <w:sz w:val="24"/>
          <w:lang w:bidi="en-US"/>
        </w:rPr>
        <w:t>Description of the issuer's structure (group/holding, subsidiaries, and affiliated companies), deemed significant by the issuer for investment decisions;</w:t>
      </w:r>
    </w:p>
    <w:p w14:paraId="7E648BDE" w14:textId="77777777" w:rsidR="00FC7EEB" w:rsidRPr="00295EFB" w:rsidRDefault="00E41BA5" w:rsidP="00A74734">
      <w:pPr>
        <w:pStyle w:val="a3"/>
        <w:numPr>
          <w:ilvl w:val="1"/>
          <w:numId w:val="8"/>
        </w:numPr>
        <w:tabs>
          <w:tab w:val="left" w:pos="3668"/>
        </w:tabs>
        <w:spacing w:before="120" w:after="120" w:line="312" w:lineRule="auto"/>
        <w:ind w:left="1276" w:hanging="567"/>
        <w:contextualSpacing w:val="0"/>
        <w:jc w:val="both"/>
        <w:rPr>
          <w:rFonts w:ascii="Times New Roman" w:hAnsi="Times New Roman" w:cs="Times New Roman"/>
          <w:sz w:val="24"/>
          <w:szCs w:val="24"/>
        </w:rPr>
      </w:pPr>
      <w:r w:rsidRPr="00295EFB">
        <w:rPr>
          <w:sz w:val="24"/>
          <w:lang w:bidi="en-US"/>
        </w:rPr>
        <w:t>Details of the issuer's credit ratings (or other financial assets), if applicable.</w:t>
      </w:r>
    </w:p>
    <w:p w14:paraId="7E648BDF" w14:textId="77777777" w:rsidR="00FC7EEB" w:rsidRPr="00295EFB" w:rsidRDefault="00E41BA5" w:rsidP="00A74734">
      <w:pPr>
        <w:pStyle w:val="a3"/>
        <w:numPr>
          <w:ilvl w:val="0"/>
          <w:numId w:val="7"/>
        </w:numPr>
        <w:tabs>
          <w:tab w:val="left" w:pos="3668"/>
        </w:tabs>
        <w:spacing w:before="120" w:after="120" w:line="312" w:lineRule="auto"/>
        <w:contextualSpacing w:val="0"/>
        <w:jc w:val="both"/>
        <w:rPr>
          <w:rFonts w:ascii="Times New Roman" w:hAnsi="Times New Roman" w:cs="Times New Roman"/>
          <w:b/>
          <w:sz w:val="24"/>
          <w:szCs w:val="24"/>
        </w:rPr>
      </w:pPr>
      <w:r w:rsidRPr="00295EFB">
        <w:rPr>
          <w:b/>
          <w:sz w:val="24"/>
          <w:lang w:bidi="en-US"/>
        </w:rPr>
        <w:t>Information on Financial and Operating Activities and the Financial Position of the Issuer:</w:t>
      </w:r>
    </w:p>
    <w:p w14:paraId="7E648BE0" w14:textId="77777777" w:rsidR="00FC7EEB" w:rsidRPr="00295EFB" w:rsidRDefault="00E41BA5" w:rsidP="00A74734">
      <w:pPr>
        <w:pStyle w:val="a3"/>
        <w:numPr>
          <w:ilvl w:val="1"/>
          <w:numId w:val="9"/>
        </w:numPr>
        <w:tabs>
          <w:tab w:val="left" w:pos="3668"/>
        </w:tabs>
        <w:spacing w:before="120" w:after="120" w:line="312" w:lineRule="auto"/>
        <w:ind w:left="1276" w:hanging="567"/>
        <w:contextualSpacing w:val="0"/>
        <w:jc w:val="both"/>
        <w:rPr>
          <w:rFonts w:ascii="Times New Roman" w:hAnsi="Times New Roman" w:cs="Times New Roman"/>
          <w:sz w:val="24"/>
          <w:szCs w:val="24"/>
        </w:rPr>
      </w:pPr>
      <w:r w:rsidRPr="00295EFB">
        <w:rPr>
          <w:sz w:val="24"/>
          <w:lang w:bidi="en-US"/>
        </w:rPr>
        <w:t>Operating activities (main revenue-generating activities) of the issuer (main types, geographic regions, other information) in dynamics for the last 24 months;</w:t>
      </w:r>
    </w:p>
    <w:p w14:paraId="7E648BE1" w14:textId="77777777" w:rsidR="00FC7EEB" w:rsidRPr="00295EFB" w:rsidRDefault="00E41BA5" w:rsidP="00A74734">
      <w:pPr>
        <w:pStyle w:val="a3"/>
        <w:numPr>
          <w:ilvl w:val="1"/>
          <w:numId w:val="9"/>
        </w:numPr>
        <w:tabs>
          <w:tab w:val="left" w:pos="3668"/>
        </w:tabs>
        <w:spacing w:before="120" w:after="120" w:line="312" w:lineRule="auto"/>
        <w:ind w:left="1276" w:hanging="567"/>
        <w:contextualSpacing w:val="0"/>
        <w:jc w:val="both"/>
        <w:rPr>
          <w:rFonts w:ascii="Times New Roman" w:hAnsi="Times New Roman" w:cs="Times New Roman"/>
          <w:sz w:val="24"/>
          <w:szCs w:val="24"/>
        </w:rPr>
      </w:pPr>
      <w:r w:rsidRPr="00295EFB">
        <w:rPr>
          <w:sz w:val="24"/>
          <w:lang w:bidi="en-US"/>
        </w:rPr>
        <w:t>Asset, liability, and equity structure of the issuer over the past 24 months;</w:t>
      </w:r>
    </w:p>
    <w:p w14:paraId="7E648BE2" w14:textId="77777777" w:rsidR="00FC7EEB" w:rsidRPr="00295EFB" w:rsidRDefault="00E41BA5" w:rsidP="00FD7A0D">
      <w:pPr>
        <w:pStyle w:val="a3"/>
        <w:numPr>
          <w:ilvl w:val="1"/>
          <w:numId w:val="9"/>
        </w:numPr>
        <w:tabs>
          <w:tab w:val="left" w:pos="3668"/>
        </w:tabs>
        <w:spacing w:before="120" w:after="120" w:line="312" w:lineRule="auto"/>
        <w:ind w:left="1276" w:hanging="567"/>
        <w:contextualSpacing w:val="0"/>
        <w:jc w:val="both"/>
        <w:rPr>
          <w:rFonts w:ascii="Times New Roman" w:hAnsi="Times New Roman" w:cs="Times New Roman"/>
          <w:sz w:val="24"/>
          <w:szCs w:val="24"/>
        </w:rPr>
      </w:pPr>
      <w:r w:rsidRPr="00295EFB">
        <w:rPr>
          <w:sz w:val="24"/>
          <w:lang w:bidi="en-US"/>
        </w:rPr>
        <w:t>Credit history of the issuer for the past 24 months;</w:t>
      </w:r>
    </w:p>
    <w:p w14:paraId="7E648BE3" w14:textId="77777777" w:rsidR="00312788" w:rsidRPr="00295EFB" w:rsidRDefault="00E41BA5" w:rsidP="00A74734">
      <w:pPr>
        <w:pStyle w:val="a3"/>
        <w:numPr>
          <w:ilvl w:val="1"/>
          <w:numId w:val="9"/>
        </w:numPr>
        <w:ind w:left="1276" w:hanging="567"/>
        <w:contextualSpacing w:val="0"/>
        <w:rPr>
          <w:rFonts w:ascii="Times New Roman" w:hAnsi="Times New Roman" w:cs="Times New Roman"/>
          <w:sz w:val="24"/>
          <w:szCs w:val="24"/>
        </w:rPr>
      </w:pPr>
      <w:r w:rsidRPr="00295EFB">
        <w:rPr>
          <w:sz w:val="24"/>
          <w:lang w:bidi="en-US"/>
        </w:rPr>
        <w:t>Principal creditors and debtors of the issuer as of the latest reporting date;</w:t>
      </w:r>
    </w:p>
    <w:p w14:paraId="7E648BE4" w14:textId="77777777" w:rsidR="00FC7EEB" w:rsidRPr="00295EFB" w:rsidRDefault="00E41BA5" w:rsidP="00A74734">
      <w:pPr>
        <w:pStyle w:val="a3"/>
        <w:numPr>
          <w:ilvl w:val="1"/>
          <w:numId w:val="9"/>
        </w:numPr>
        <w:tabs>
          <w:tab w:val="left" w:pos="3668"/>
        </w:tabs>
        <w:spacing w:before="120" w:after="120" w:line="312" w:lineRule="auto"/>
        <w:ind w:left="1276" w:hanging="567"/>
        <w:contextualSpacing w:val="0"/>
        <w:jc w:val="both"/>
        <w:rPr>
          <w:rFonts w:ascii="Times New Roman" w:hAnsi="Times New Roman" w:cs="Times New Roman"/>
          <w:sz w:val="24"/>
          <w:szCs w:val="24"/>
        </w:rPr>
      </w:pPr>
      <w:r w:rsidRPr="00295EFB">
        <w:rPr>
          <w:sz w:val="24"/>
          <w:lang w:bidi="en-US"/>
        </w:rPr>
        <w:t>Description of legal proceedings (if any) involving the issuer that could significantly impact its financial condition;</w:t>
      </w:r>
    </w:p>
    <w:p w14:paraId="7E648BE5" w14:textId="77777777" w:rsidR="00516E44" w:rsidRPr="00295EFB" w:rsidRDefault="00E41BA5" w:rsidP="00A74734">
      <w:pPr>
        <w:pStyle w:val="a3"/>
        <w:numPr>
          <w:ilvl w:val="1"/>
          <w:numId w:val="9"/>
        </w:numPr>
        <w:tabs>
          <w:tab w:val="left" w:pos="3668"/>
        </w:tabs>
        <w:spacing w:before="120" w:after="120" w:line="312" w:lineRule="auto"/>
        <w:ind w:left="1276" w:hanging="567"/>
        <w:contextualSpacing w:val="0"/>
        <w:jc w:val="both"/>
        <w:rPr>
          <w:rFonts w:ascii="Times New Roman" w:hAnsi="Times New Roman" w:cs="Times New Roman"/>
          <w:sz w:val="24"/>
          <w:szCs w:val="24"/>
        </w:rPr>
      </w:pPr>
      <w:r w:rsidRPr="00295EFB">
        <w:rPr>
          <w:sz w:val="24"/>
          <w:lang w:bidi="en-US"/>
        </w:rPr>
        <w:t>Information on the issuer's defaults in the organized securities market.</w:t>
      </w:r>
    </w:p>
    <w:p w14:paraId="7E648BE6" w14:textId="77777777" w:rsidR="00AF1321" w:rsidRPr="00295EFB" w:rsidRDefault="00E41BA5" w:rsidP="00A74734">
      <w:pPr>
        <w:pStyle w:val="a3"/>
        <w:numPr>
          <w:ilvl w:val="0"/>
          <w:numId w:val="7"/>
        </w:numPr>
        <w:tabs>
          <w:tab w:val="left" w:pos="3668"/>
        </w:tabs>
        <w:spacing w:before="120" w:after="120" w:line="312" w:lineRule="auto"/>
        <w:contextualSpacing w:val="0"/>
        <w:jc w:val="both"/>
        <w:rPr>
          <w:rFonts w:ascii="Times New Roman" w:hAnsi="Times New Roman" w:cs="Times New Roman"/>
          <w:b/>
          <w:sz w:val="24"/>
          <w:szCs w:val="24"/>
        </w:rPr>
      </w:pPr>
      <w:r w:rsidRPr="00295EFB">
        <w:rPr>
          <w:b/>
          <w:sz w:val="24"/>
          <w:lang w:bidi="en-US"/>
        </w:rPr>
        <w:t>Key Financial Indicators of the Issuer for 12 Months of the Reporting Year Compared to 12 Months of the Previous Year (as of the End Date of the Reporting Year Compared to Indicators as of the End of the Previous Year):</w:t>
      </w:r>
    </w:p>
    <w:tbl>
      <w:tblPr>
        <w:tblW w:w="9072" w:type="dxa"/>
        <w:tblCellMar>
          <w:top w:w="15" w:type="dxa"/>
          <w:left w:w="15" w:type="dxa"/>
          <w:bottom w:w="15" w:type="dxa"/>
          <w:right w:w="15" w:type="dxa"/>
        </w:tblCellMar>
        <w:tblLook w:val="04A0" w:firstRow="1" w:lastRow="0" w:firstColumn="1" w:lastColumn="0" w:noHBand="0" w:noVBand="1"/>
      </w:tblPr>
      <w:tblGrid>
        <w:gridCol w:w="463"/>
        <w:gridCol w:w="4259"/>
        <w:gridCol w:w="4350"/>
      </w:tblGrid>
      <w:tr w:rsidR="00D32323" w:rsidRPr="007B74A2" w14:paraId="7E648BEA" w14:textId="77777777" w:rsidTr="00AF132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E7"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No.</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E8"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Indicator Name</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E9"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Methodology for Calculating the Indicator</w:t>
            </w:r>
          </w:p>
        </w:tc>
      </w:tr>
      <w:tr w:rsidR="00D32323" w:rsidRPr="007B74A2" w14:paraId="7E648BEE" w14:textId="77777777" w:rsidTr="00AF132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EB"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EC"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Revenue, rubles</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ED"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Determined according to the issuer's accounting policy</w:t>
            </w:r>
          </w:p>
        </w:tc>
      </w:tr>
      <w:tr w:rsidR="00D32323" w:rsidRPr="007B74A2" w14:paraId="7E648BF2" w14:textId="77777777" w:rsidTr="00AF1321">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EF"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F0"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EBITDA (earnings before interest, taxes, depreciation of property, plant and equipment, and amortization of intangible assets), rubles</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F1"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Amount of profit (loss) before taxes, interest expenses, depreciation of property, plant and equipment, and amortization of intangible assets</w:t>
            </w:r>
          </w:p>
        </w:tc>
      </w:tr>
      <w:tr w:rsidR="00D32323" w:rsidRPr="007B74A2" w14:paraId="7E648BF6" w14:textId="77777777" w:rsidTr="00AF132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648BF3" w14:textId="77777777" w:rsidR="00AF1321" w:rsidRPr="00295EFB" w:rsidRDefault="00B30EE5" w:rsidP="00AF13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F4"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OIBDA (operating income before depreciation of property, plant and equipment and amortization of intangible assets), rubles</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F5"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Amount of operating profit (loss) before depreciation of property, plant and equipment and amortization of intangible assets</w:t>
            </w:r>
          </w:p>
        </w:tc>
      </w:tr>
      <w:tr w:rsidR="00D32323" w:rsidRPr="007B74A2" w14:paraId="7E648BFA" w14:textId="77777777" w:rsidTr="00AF1321">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F7"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F8"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EBITDA margin, %</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F9"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EBITDA to revenue ratio</w:t>
            </w:r>
          </w:p>
        </w:tc>
      </w:tr>
      <w:tr w:rsidR="00D32323" w:rsidRPr="007B74A2" w14:paraId="7E648BFE" w14:textId="77777777" w:rsidTr="00AF132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648BFB" w14:textId="77777777" w:rsidR="00AF1321" w:rsidRPr="00295EFB" w:rsidRDefault="00B30EE5" w:rsidP="00AF13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FC"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OIBDA Margin, %</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FD"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OIBDA to revenue ratio</w:t>
            </w:r>
          </w:p>
        </w:tc>
      </w:tr>
      <w:tr w:rsidR="00D32323" w:rsidRPr="007B74A2" w14:paraId="7E648C02" w14:textId="77777777" w:rsidTr="00AF132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BFF"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00"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Net income (loss), rubles</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01"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Determined according to the issuer's accounting policy</w:t>
            </w:r>
          </w:p>
        </w:tc>
      </w:tr>
      <w:tr w:rsidR="00D32323" w:rsidRPr="007B74A2" w14:paraId="7E648C06" w14:textId="77777777" w:rsidTr="00AF132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03"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04"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Net cash provided by operating activities, rubles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648C05" w14:textId="77777777" w:rsidR="00AF1321" w:rsidRPr="00295EFB" w:rsidRDefault="00B30EE5" w:rsidP="00AF1321">
            <w:pPr>
              <w:spacing w:after="0" w:line="240" w:lineRule="auto"/>
              <w:rPr>
                <w:rFonts w:ascii="Times New Roman" w:eastAsia="Times New Roman" w:hAnsi="Times New Roman" w:cs="Times New Roman"/>
                <w:sz w:val="24"/>
                <w:szCs w:val="24"/>
                <w:lang w:eastAsia="ru-RU"/>
              </w:rPr>
            </w:pPr>
          </w:p>
        </w:tc>
      </w:tr>
      <w:tr w:rsidR="00D32323" w:rsidRPr="007B74A2" w14:paraId="7E648C0A" w14:textId="77777777" w:rsidTr="00AF132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07"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08"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Expenses on acquisition of property, plant and equipment and intangible assets (capital expenditures), rubles</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648C09" w14:textId="77777777" w:rsidR="00AF1321" w:rsidRPr="00295EFB" w:rsidRDefault="00B30EE5" w:rsidP="00AF1321">
            <w:pPr>
              <w:spacing w:after="0" w:line="240" w:lineRule="auto"/>
              <w:rPr>
                <w:rFonts w:ascii="Times New Roman" w:eastAsia="Times New Roman" w:hAnsi="Times New Roman" w:cs="Times New Roman"/>
                <w:sz w:val="24"/>
                <w:szCs w:val="24"/>
                <w:lang w:eastAsia="ru-RU"/>
              </w:rPr>
            </w:pPr>
          </w:p>
        </w:tc>
      </w:tr>
      <w:tr w:rsidR="00D32323" w:rsidRPr="007B74A2" w14:paraId="7E648C0E" w14:textId="77777777" w:rsidTr="00AF132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0B"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0C"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Free cash flow, rubles</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0D"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Difference between net cash from operating activities and capital expenditures</w:t>
            </w:r>
          </w:p>
        </w:tc>
      </w:tr>
      <w:tr w:rsidR="00D32323" w:rsidRPr="007B74A2" w14:paraId="7E648C12" w14:textId="77777777" w:rsidTr="00AF132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0F"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10"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Net debt, rubles</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11"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Difference between total debt and cash and equivalents</w:t>
            </w:r>
          </w:p>
        </w:tc>
      </w:tr>
      <w:tr w:rsidR="00D32323" w:rsidRPr="007B74A2" w14:paraId="7E648C16" w14:textId="77777777" w:rsidTr="00AF1321">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13"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14"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Net debt to EBITDA ratio for the previous 12 months</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15"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Net debt to EBITDA ratio for the previous 12 months</w:t>
            </w:r>
          </w:p>
        </w:tc>
      </w:tr>
      <w:tr w:rsidR="00D32323" w:rsidRPr="007B74A2" w14:paraId="7E648C1A" w14:textId="77777777" w:rsidTr="00AF1321">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648C17" w14:textId="77777777" w:rsidR="00AF1321" w:rsidRPr="00295EFB" w:rsidRDefault="00B30EE5" w:rsidP="00AF132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18"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Net debt to OIBDA ratio for the previous 12 months</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19"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Net debt to OIBDA ratio for the previous 12 months</w:t>
            </w:r>
          </w:p>
        </w:tc>
      </w:tr>
      <w:tr w:rsidR="00D32323" w:rsidRPr="007B74A2" w14:paraId="7E648C1E" w14:textId="77777777" w:rsidTr="00AF132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1B" w14:textId="77777777" w:rsidR="00AF1321" w:rsidRPr="00295EFB" w:rsidRDefault="00E41BA5" w:rsidP="00AF1321">
            <w:pPr>
              <w:spacing w:before="210" w:after="0" w:line="240" w:lineRule="auto"/>
              <w:jc w:val="center"/>
              <w:rPr>
                <w:rFonts w:ascii="Times New Roman" w:eastAsia="Times New Roman" w:hAnsi="Times New Roman" w:cs="Times New Roman"/>
                <w:sz w:val="24"/>
                <w:szCs w:val="24"/>
                <w:lang w:eastAsia="ru-RU"/>
              </w:rPr>
            </w:pPr>
            <w:r w:rsidRPr="00295EFB">
              <w:rPr>
                <w:sz w:val="24"/>
                <w:lang w:bidi="en-US"/>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1C"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Return on equity (ROE), %</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E648C1D" w14:textId="77777777" w:rsidR="00AF1321" w:rsidRPr="00295EFB" w:rsidRDefault="00E41BA5" w:rsidP="00AF1321">
            <w:pPr>
              <w:spacing w:before="210" w:after="0" w:line="240" w:lineRule="auto"/>
              <w:rPr>
                <w:rFonts w:ascii="Times New Roman" w:eastAsia="Times New Roman" w:hAnsi="Times New Roman" w:cs="Times New Roman"/>
                <w:sz w:val="24"/>
                <w:szCs w:val="24"/>
                <w:lang w:eastAsia="ru-RU"/>
              </w:rPr>
            </w:pPr>
            <w:r w:rsidRPr="00295EFB">
              <w:rPr>
                <w:sz w:val="24"/>
                <w:lang w:bidi="en-US"/>
              </w:rPr>
              <w:t>Ratio of net profit (loss) to average annual equity capital</w:t>
            </w:r>
          </w:p>
        </w:tc>
      </w:tr>
    </w:tbl>
    <w:p w14:paraId="7E648C1F" w14:textId="740437CB" w:rsidR="00FB5CD6" w:rsidRPr="00295EFB" w:rsidRDefault="00B30EE5" w:rsidP="00AF1321">
      <w:pPr>
        <w:rPr>
          <w:rFonts w:ascii="Times New Roman" w:hAnsi="Times New Roman" w:cs="Times New Roman"/>
          <w:sz w:val="24"/>
          <w:szCs w:val="24"/>
        </w:rPr>
      </w:pPr>
    </w:p>
    <w:p w14:paraId="60DD54F7" w14:textId="27748F0E" w:rsidR="00E41BA5" w:rsidRPr="00295EFB" w:rsidRDefault="00E41BA5" w:rsidP="00AF1321">
      <w:pPr>
        <w:rPr>
          <w:rFonts w:ascii="Times New Roman" w:hAnsi="Times New Roman" w:cs="Times New Roman"/>
          <w:sz w:val="24"/>
          <w:szCs w:val="24"/>
        </w:rPr>
      </w:pPr>
      <w:r w:rsidRPr="00295EFB">
        <w:rPr>
          <w:sz w:val="24"/>
          <w:lang w:bidi="en-US"/>
        </w:rPr>
        <w:lastRenderedPageBreak/>
        <w:t>Attachments:</w:t>
      </w:r>
    </w:p>
    <w:p w14:paraId="1F93A48D" w14:textId="4BC05E21" w:rsidR="00E41BA5" w:rsidRPr="00295EFB" w:rsidRDefault="00E41BA5" w:rsidP="00295EFB">
      <w:pPr>
        <w:jc w:val="both"/>
        <w:rPr>
          <w:rFonts w:ascii="Times New Roman" w:hAnsi="Times New Roman" w:cs="Times New Roman"/>
          <w:sz w:val="24"/>
          <w:szCs w:val="24"/>
        </w:rPr>
      </w:pPr>
      <w:r w:rsidRPr="00295EFB">
        <w:rPr>
          <w:sz w:val="24"/>
          <w:lang w:bidi="en-US"/>
        </w:rPr>
        <w:t>Issuer's financial statements prepared according to RAS and IFRS (if available) for the current calendar year (interim statements) and the previous calendar year, along with explanatory notes and auditor's reports (if available) attached.</w:t>
      </w:r>
    </w:p>
    <w:p w14:paraId="610EFECB" w14:textId="03A2ABCE" w:rsidR="00940EA5" w:rsidRPr="00295EFB" w:rsidRDefault="00940EA5" w:rsidP="00AF1321">
      <w:pPr>
        <w:rPr>
          <w:rFonts w:ascii="Times New Roman" w:hAnsi="Times New Roman" w:cs="Times New Roman"/>
          <w:sz w:val="24"/>
          <w:szCs w:val="24"/>
        </w:rPr>
      </w:pPr>
    </w:p>
    <w:p w14:paraId="12A5A853" w14:textId="59D61389" w:rsidR="00940EA5" w:rsidRPr="00295EFB" w:rsidRDefault="00940EA5" w:rsidP="00AF1321">
      <w:pPr>
        <w:rPr>
          <w:rFonts w:ascii="Times New Roman" w:hAnsi="Times New Roman" w:cs="Times New Roman"/>
          <w:sz w:val="24"/>
          <w:szCs w:val="24"/>
        </w:rPr>
      </w:pPr>
    </w:p>
    <w:p w14:paraId="04B84983" w14:textId="3A84AAD0" w:rsidR="00940EA5" w:rsidRPr="00295EFB" w:rsidRDefault="00940EA5" w:rsidP="00AF1321">
      <w:pPr>
        <w:rPr>
          <w:rFonts w:ascii="Times New Roman" w:hAnsi="Times New Roman" w:cs="Times New Roman"/>
          <w:sz w:val="24"/>
          <w:szCs w:val="24"/>
        </w:rPr>
      </w:pPr>
    </w:p>
    <w:p w14:paraId="0E99B26D" w14:textId="0EFEEF69" w:rsidR="00940EA5" w:rsidRPr="00295EFB" w:rsidRDefault="00940EA5" w:rsidP="00295EFB">
      <w:pPr>
        <w:jc w:val="right"/>
        <w:rPr>
          <w:rFonts w:ascii="Times New Roman" w:hAnsi="Times New Roman" w:cs="Times New Roman"/>
          <w:sz w:val="24"/>
          <w:szCs w:val="24"/>
        </w:rPr>
      </w:pPr>
      <w:r w:rsidRPr="00295EFB">
        <w:rPr>
          <w:sz w:val="24"/>
          <w:lang w:bidi="en-US"/>
        </w:rPr>
        <w:t>Signature of the authorized person</w:t>
      </w:r>
    </w:p>
    <w:p w14:paraId="7428D354" w14:textId="1FFC9C4F" w:rsidR="0054686C" w:rsidRPr="00295EFB" w:rsidRDefault="0054686C" w:rsidP="00AF1321">
      <w:pPr>
        <w:rPr>
          <w:rFonts w:ascii="Times New Roman" w:hAnsi="Times New Roman" w:cs="Times New Roman"/>
          <w:sz w:val="24"/>
          <w:szCs w:val="24"/>
        </w:rPr>
      </w:pPr>
    </w:p>
    <w:p w14:paraId="390534E7" w14:textId="77777777" w:rsidR="0054686C" w:rsidRPr="00295EFB" w:rsidRDefault="0054686C" w:rsidP="00AF1321">
      <w:pPr>
        <w:rPr>
          <w:rFonts w:ascii="Times New Roman" w:hAnsi="Times New Roman" w:cs="Times New Roman"/>
          <w:sz w:val="24"/>
          <w:szCs w:val="24"/>
        </w:rPr>
      </w:pPr>
    </w:p>
    <w:sectPr w:rsidR="0054686C" w:rsidRPr="00295EF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2EE95" w14:textId="77777777" w:rsidR="0050566F" w:rsidRDefault="0050566F">
      <w:pPr>
        <w:spacing w:after="0" w:line="240" w:lineRule="auto"/>
      </w:pPr>
      <w:r>
        <w:separator/>
      </w:r>
    </w:p>
  </w:endnote>
  <w:endnote w:type="continuationSeparator" w:id="0">
    <w:p w14:paraId="67EA74FB" w14:textId="77777777" w:rsidR="0050566F" w:rsidRDefault="0050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5090E" w14:textId="77777777" w:rsidR="00641172" w:rsidRDefault="0064117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778937545"/>
      <w:docPartObj>
        <w:docPartGallery w:val="Page Numbers (Bottom of Page)"/>
        <w:docPartUnique/>
      </w:docPartObj>
    </w:sdtPr>
    <w:sdtEndPr/>
    <w:sdtContent>
      <w:p w14:paraId="7E648C20" w14:textId="7086D567" w:rsidR="00B66940" w:rsidRPr="00A74734" w:rsidRDefault="00E41BA5">
        <w:pPr>
          <w:pStyle w:val="aa"/>
          <w:jc w:val="right"/>
          <w:rPr>
            <w:rFonts w:ascii="Arial" w:hAnsi="Arial" w:cs="Arial"/>
            <w:sz w:val="20"/>
            <w:szCs w:val="20"/>
          </w:rPr>
        </w:pPr>
        <w:r w:rsidRPr="00A74734">
          <w:rPr>
            <w:sz w:val="20"/>
            <w:lang w:bidi="en-US"/>
          </w:rPr>
          <w:fldChar w:fldCharType="begin"/>
        </w:r>
        <w:r w:rsidRPr="00A74734">
          <w:rPr>
            <w:sz w:val="20"/>
            <w:lang w:bidi="en-US"/>
          </w:rPr>
          <w:instrText>PAGE   \* MERGEFORMAT</w:instrText>
        </w:r>
        <w:r w:rsidRPr="00A74734">
          <w:rPr>
            <w:sz w:val="20"/>
            <w:lang w:bidi="en-US"/>
          </w:rPr>
          <w:fldChar w:fldCharType="separate"/>
        </w:r>
        <w:r w:rsidR="00B30EE5">
          <w:rPr>
            <w:noProof/>
            <w:sz w:val="20"/>
            <w:lang w:bidi="en-US"/>
          </w:rPr>
          <w:t>1</w:t>
        </w:r>
        <w:r w:rsidRPr="00A74734">
          <w:rPr>
            <w:sz w:val="20"/>
            <w:lang w:bidi="en-US"/>
          </w:rPr>
          <w:fldChar w:fldCharType="end"/>
        </w:r>
      </w:p>
    </w:sdtContent>
  </w:sdt>
  <w:p w14:paraId="7E648C21" w14:textId="77777777" w:rsidR="00B66940" w:rsidRPr="00A74734" w:rsidRDefault="00B30EE5">
    <w:pPr>
      <w:pStyle w:val="aa"/>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F84E4" w14:textId="77777777" w:rsidR="00641172" w:rsidRDefault="006411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37DE7" w14:textId="77777777" w:rsidR="0050566F" w:rsidRDefault="0050566F">
      <w:pPr>
        <w:spacing w:after="0" w:line="240" w:lineRule="auto"/>
      </w:pPr>
      <w:r>
        <w:separator/>
      </w:r>
    </w:p>
  </w:footnote>
  <w:footnote w:type="continuationSeparator" w:id="0">
    <w:p w14:paraId="4E8CC4AA" w14:textId="77777777" w:rsidR="0050566F" w:rsidRDefault="00505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06970" w14:textId="77777777" w:rsidR="00641172" w:rsidRDefault="006411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88DA2" w14:textId="77777777" w:rsidR="00641172" w:rsidRDefault="0064117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0F36E" w14:textId="77777777" w:rsidR="00641172" w:rsidRDefault="006411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4362"/>
    <w:multiLevelType w:val="multilevel"/>
    <w:tmpl w:val="05D2C71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09BA4360"/>
    <w:multiLevelType w:val="multilevel"/>
    <w:tmpl w:val="04F23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D1687"/>
    <w:multiLevelType w:val="multilevel"/>
    <w:tmpl w:val="D3367EAE"/>
    <w:lvl w:ilvl="0">
      <w:start w:val="2"/>
      <w:numFmt w:val="decimal"/>
      <w:lvlText w:val="%1."/>
      <w:lvlJc w:val="left"/>
      <w:pPr>
        <w:ind w:left="360" w:hanging="360"/>
      </w:pPr>
    </w:lvl>
    <w:lvl w:ilvl="1">
      <w:start w:val="1"/>
      <w:numFmt w:val="decimal"/>
      <w:lvlText w:val="%1.%2."/>
      <w:lvlJc w:val="left"/>
      <w:pPr>
        <w:ind w:left="1636" w:hanging="36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8736" w:hanging="1080"/>
      </w:pPr>
    </w:lvl>
    <w:lvl w:ilvl="7">
      <w:start w:val="1"/>
      <w:numFmt w:val="decimal"/>
      <w:lvlText w:val="%1.%2.%3.%4.%5.%6.%7.%8."/>
      <w:lvlJc w:val="left"/>
      <w:pPr>
        <w:ind w:left="10372" w:hanging="1440"/>
      </w:pPr>
    </w:lvl>
    <w:lvl w:ilvl="8">
      <w:start w:val="1"/>
      <w:numFmt w:val="decimal"/>
      <w:lvlText w:val="%1.%2.%3.%4.%5.%6.%7.%8.%9."/>
      <w:lvlJc w:val="left"/>
      <w:pPr>
        <w:ind w:left="11648" w:hanging="1440"/>
      </w:pPr>
    </w:lvl>
  </w:abstractNum>
  <w:abstractNum w:abstractNumId="3" w15:restartNumberingAfterBreak="0">
    <w:nsid w:val="1AC93DD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5E118C"/>
    <w:multiLevelType w:val="hybridMultilevel"/>
    <w:tmpl w:val="8FA05AEE"/>
    <w:lvl w:ilvl="0" w:tplc="9AEA7830">
      <w:start w:val="1"/>
      <w:numFmt w:val="decimal"/>
      <w:lvlText w:val="%1."/>
      <w:lvlJc w:val="left"/>
      <w:pPr>
        <w:ind w:left="720" w:hanging="360"/>
      </w:pPr>
      <w:rPr>
        <w:rFonts w:hint="default"/>
      </w:rPr>
    </w:lvl>
    <w:lvl w:ilvl="1" w:tplc="2DBC12A8" w:tentative="1">
      <w:start w:val="1"/>
      <w:numFmt w:val="lowerLetter"/>
      <w:lvlText w:val="%2."/>
      <w:lvlJc w:val="left"/>
      <w:pPr>
        <w:ind w:left="1440" w:hanging="360"/>
      </w:pPr>
    </w:lvl>
    <w:lvl w:ilvl="2" w:tplc="23F4B658" w:tentative="1">
      <w:start w:val="1"/>
      <w:numFmt w:val="lowerRoman"/>
      <w:lvlText w:val="%3."/>
      <w:lvlJc w:val="right"/>
      <w:pPr>
        <w:ind w:left="2160" w:hanging="180"/>
      </w:pPr>
    </w:lvl>
    <w:lvl w:ilvl="3" w:tplc="0310E64E" w:tentative="1">
      <w:start w:val="1"/>
      <w:numFmt w:val="decimal"/>
      <w:lvlText w:val="%4."/>
      <w:lvlJc w:val="left"/>
      <w:pPr>
        <w:ind w:left="2880" w:hanging="360"/>
      </w:pPr>
    </w:lvl>
    <w:lvl w:ilvl="4" w:tplc="FCD2A970" w:tentative="1">
      <w:start w:val="1"/>
      <w:numFmt w:val="lowerLetter"/>
      <w:lvlText w:val="%5."/>
      <w:lvlJc w:val="left"/>
      <w:pPr>
        <w:ind w:left="3600" w:hanging="360"/>
      </w:pPr>
    </w:lvl>
    <w:lvl w:ilvl="5" w:tplc="DD582860" w:tentative="1">
      <w:start w:val="1"/>
      <w:numFmt w:val="lowerRoman"/>
      <w:lvlText w:val="%6."/>
      <w:lvlJc w:val="right"/>
      <w:pPr>
        <w:ind w:left="4320" w:hanging="180"/>
      </w:pPr>
    </w:lvl>
    <w:lvl w:ilvl="6" w:tplc="50C2AF96" w:tentative="1">
      <w:start w:val="1"/>
      <w:numFmt w:val="decimal"/>
      <w:lvlText w:val="%7."/>
      <w:lvlJc w:val="left"/>
      <w:pPr>
        <w:ind w:left="5040" w:hanging="360"/>
      </w:pPr>
    </w:lvl>
    <w:lvl w:ilvl="7" w:tplc="B43861BE" w:tentative="1">
      <w:start w:val="1"/>
      <w:numFmt w:val="lowerLetter"/>
      <w:lvlText w:val="%8."/>
      <w:lvlJc w:val="left"/>
      <w:pPr>
        <w:ind w:left="5760" w:hanging="360"/>
      </w:pPr>
    </w:lvl>
    <w:lvl w:ilvl="8" w:tplc="46B27AF4" w:tentative="1">
      <w:start w:val="1"/>
      <w:numFmt w:val="lowerRoman"/>
      <w:lvlText w:val="%9."/>
      <w:lvlJc w:val="right"/>
      <w:pPr>
        <w:ind w:left="6480" w:hanging="180"/>
      </w:pPr>
    </w:lvl>
  </w:abstractNum>
  <w:abstractNum w:abstractNumId="5" w15:restartNumberingAfterBreak="0">
    <w:nsid w:val="2F047AAF"/>
    <w:multiLevelType w:val="multilevel"/>
    <w:tmpl w:val="6DD4007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E60FE"/>
    <w:multiLevelType w:val="multilevel"/>
    <w:tmpl w:val="6B503AD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55101EDB"/>
    <w:multiLevelType w:val="multilevel"/>
    <w:tmpl w:val="C7AED91A"/>
    <w:lvl w:ilvl="0">
      <w:start w:val="3"/>
      <w:numFmt w:val="decimal"/>
      <w:lvlText w:val="%1."/>
      <w:lvlJc w:val="left"/>
      <w:pPr>
        <w:ind w:left="360" w:hanging="360"/>
      </w:pPr>
    </w:lvl>
    <w:lvl w:ilvl="1">
      <w:start w:val="1"/>
      <w:numFmt w:val="decimal"/>
      <w:lvlText w:val="%1.%2."/>
      <w:lvlJc w:val="left"/>
      <w:pPr>
        <w:ind w:left="1636" w:hanging="36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8736" w:hanging="1080"/>
      </w:pPr>
    </w:lvl>
    <w:lvl w:ilvl="7">
      <w:start w:val="1"/>
      <w:numFmt w:val="decimal"/>
      <w:lvlText w:val="%1.%2.%3.%4.%5.%6.%7.%8."/>
      <w:lvlJc w:val="left"/>
      <w:pPr>
        <w:ind w:left="10372" w:hanging="1440"/>
      </w:pPr>
    </w:lvl>
    <w:lvl w:ilvl="8">
      <w:start w:val="1"/>
      <w:numFmt w:val="decimal"/>
      <w:lvlText w:val="%1.%2.%3.%4.%5.%6.%7.%8.%9."/>
      <w:lvlJc w:val="left"/>
      <w:pPr>
        <w:ind w:left="11648" w:hanging="1440"/>
      </w:pPr>
    </w:lvl>
  </w:abstractNum>
  <w:abstractNum w:abstractNumId="8" w15:restartNumberingAfterBreak="0">
    <w:nsid w:val="6BD475BE"/>
    <w:multiLevelType w:val="multilevel"/>
    <w:tmpl w:val="ACE0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E17E5"/>
    <w:multiLevelType w:val="hybridMultilevel"/>
    <w:tmpl w:val="C2A49512"/>
    <w:lvl w:ilvl="0" w:tplc="C90C56DE">
      <w:start w:val="1"/>
      <w:numFmt w:val="bullet"/>
      <w:lvlText w:val=""/>
      <w:lvlJc w:val="left"/>
      <w:pPr>
        <w:ind w:left="1434" w:hanging="360"/>
      </w:pPr>
      <w:rPr>
        <w:rFonts w:ascii="Symbol" w:hAnsi="Symbol" w:hint="default"/>
      </w:rPr>
    </w:lvl>
    <w:lvl w:ilvl="1" w:tplc="10085664" w:tentative="1">
      <w:start w:val="1"/>
      <w:numFmt w:val="bullet"/>
      <w:lvlText w:val="o"/>
      <w:lvlJc w:val="left"/>
      <w:pPr>
        <w:ind w:left="2154" w:hanging="360"/>
      </w:pPr>
      <w:rPr>
        <w:rFonts w:ascii="Courier New" w:hAnsi="Courier New" w:cs="Courier New" w:hint="default"/>
      </w:rPr>
    </w:lvl>
    <w:lvl w:ilvl="2" w:tplc="97562F5A" w:tentative="1">
      <w:start w:val="1"/>
      <w:numFmt w:val="bullet"/>
      <w:lvlText w:val=""/>
      <w:lvlJc w:val="left"/>
      <w:pPr>
        <w:ind w:left="2874" w:hanging="360"/>
      </w:pPr>
      <w:rPr>
        <w:rFonts w:ascii="Wingdings" w:hAnsi="Wingdings" w:hint="default"/>
      </w:rPr>
    </w:lvl>
    <w:lvl w:ilvl="3" w:tplc="0EF664DE" w:tentative="1">
      <w:start w:val="1"/>
      <w:numFmt w:val="bullet"/>
      <w:lvlText w:val=""/>
      <w:lvlJc w:val="left"/>
      <w:pPr>
        <w:ind w:left="3594" w:hanging="360"/>
      </w:pPr>
      <w:rPr>
        <w:rFonts w:ascii="Symbol" w:hAnsi="Symbol" w:hint="default"/>
      </w:rPr>
    </w:lvl>
    <w:lvl w:ilvl="4" w:tplc="2B3AC2C8" w:tentative="1">
      <w:start w:val="1"/>
      <w:numFmt w:val="bullet"/>
      <w:lvlText w:val="o"/>
      <w:lvlJc w:val="left"/>
      <w:pPr>
        <w:ind w:left="4314" w:hanging="360"/>
      </w:pPr>
      <w:rPr>
        <w:rFonts w:ascii="Courier New" w:hAnsi="Courier New" w:cs="Courier New" w:hint="default"/>
      </w:rPr>
    </w:lvl>
    <w:lvl w:ilvl="5" w:tplc="0A04B6D8" w:tentative="1">
      <w:start w:val="1"/>
      <w:numFmt w:val="bullet"/>
      <w:lvlText w:val=""/>
      <w:lvlJc w:val="left"/>
      <w:pPr>
        <w:ind w:left="5034" w:hanging="360"/>
      </w:pPr>
      <w:rPr>
        <w:rFonts w:ascii="Wingdings" w:hAnsi="Wingdings" w:hint="default"/>
      </w:rPr>
    </w:lvl>
    <w:lvl w:ilvl="6" w:tplc="26ACFC56" w:tentative="1">
      <w:start w:val="1"/>
      <w:numFmt w:val="bullet"/>
      <w:lvlText w:val=""/>
      <w:lvlJc w:val="left"/>
      <w:pPr>
        <w:ind w:left="5754" w:hanging="360"/>
      </w:pPr>
      <w:rPr>
        <w:rFonts w:ascii="Symbol" w:hAnsi="Symbol" w:hint="default"/>
      </w:rPr>
    </w:lvl>
    <w:lvl w:ilvl="7" w:tplc="204203B2" w:tentative="1">
      <w:start w:val="1"/>
      <w:numFmt w:val="bullet"/>
      <w:lvlText w:val="o"/>
      <w:lvlJc w:val="left"/>
      <w:pPr>
        <w:ind w:left="6474" w:hanging="360"/>
      </w:pPr>
      <w:rPr>
        <w:rFonts w:ascii="Courier New" w:hAnsi="Courier New" w:cs="Courier New" w:hint="default"/>
      </w:rPr>
    </w:lvl>
    <w:lvl w:ilvl="8" w:tplc="331C03E8" w:tentative="1">
      <w:start w:val="1"/>
      <w:numFmt w:val="bullet"/>
      <w:lvlText w:val=""/>
      <w:lvlJc w:val="left"/>
      <w:pPr>
        <w:ind w:left="7194" w:hanging="360"/>
      </w:pPr>
      <w:rPr>
        <w:rFonts w:ascii="Wingdings" w:hAnsi="Wingdings" w:hint="default"/>
      </w:rPr>
    </w:lvl>
  </w:abstractNum>
  <w:num w:numId="1">
    <w:abstractNumId w:val="4"/>
  </w:num>
  <w:num w:numId="2">
    <w:abstractNumId w:val="8"/>
  </w:num>
  <w:num w:numId="3">
    <w:abstractNumId w:val="1"/>
  </w:num>
  <w:num w:numId="4">
    <w:abstractNumId w:val="5"/>
  </w:num>
  <w:num w:numId="5">
    <w:abstractNumId w:val="9"/>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323"/>
    <w:rsid w:val="001A6559"/>
    <w:rsid w:val="00295EFB"/>
    <w:rsid w:val="0050566F"/>
    <w:rsid w:val="0054686C"/>
    <w:rsid w:val="00641172"/>
    <w:rsid w:val="00676FBD"/>
    <w:rsid w:val="007B74A2"/>
    <w:rsid w:val="00940EA5"/>
    <w:rsid w:val="00AD70C9"/>
    <w:rsid w:val="00B30EE5"/>
    <w:rsid w:val="00D32323"/>
    <w:rsid w:val="00E409AA"/>
    <w:rsid w:val="00E41BA5"/>
    <w:rsid w:val="00F30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4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C27"/>
    <w:pPr>
      <w:ind w:left="720"/>
      <w:contextualSpacing/>
    </w:pPr>
  </w:style>
  <w:style w:type="character" w:styleId="a4">
    <w:name w:val="Hyperlink"/>
    <w:basedOn w:val="a0"/>
    <w:uiPriority w:val="99"/>
    <w:unhideWhenUsed/>
    <w:rsid w:val="00FA761B"/>
    <w:rPr>
      <w:color w:val="0000FF"/>
      <w:u w:val="single"/>
    </w:rPr>
  </w:style>
  <w:style w:type="paragraph" w:styleId="a5">
    <w:name w:val="Normal (Web)"/>
    <w:basedOn w:val="a"/>
    <w:uiPriority w:val="99"/>
    <w:unhideWhenUsed/>
    <w:rsid w:val="001261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AF1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AF13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Revision"/>
    <w:hidden/>
    <w:uiPriority w:val="99"/>
    <w:semiHidden/>
    <w:rsid w:val="00D70167"/>
    <w:pPr>
      <w:spacing w:after="0" w:line="240" w:lineRule="auto"/>
    </w:pPr>
  </w:style>
  <w:style w:type="character" w:styleId="a7">
    <w:name w:val="footnote reference"/>
    <w:uiPriority w:val="99"/>
    <w:semiHidden/>
    <w:unhideWhenUsed/>
    <w:rsid w:val="00FC7EEB"/>
    <w:rPr>
      <w:vertAlign w:val="superscript"/>
    </w:rPr>
  </w:style>
  <w:style w:type="paragraph" w:styleId="a8">
    <w:name w:val="header"/>
    <w:basedOn w:val="a"/>
    <w:link w:val="a9"/>
    <w:uiPriority w:val="99"/>
    <w:unhideWhenUsed/>
    <w:rsid w:val="00B669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6940"/>
  </w:style>
  <w:style w:type="paragraph" w:styleId="aa">
    <w:name w:val="footer"/>
    <w:basedOn w:val="a"/>
    <w:link w:val="ab"/>
    <w:uiPriority w:val="99"/>
    <w:unhideWhenUsed/>
    <w:rsid w:val="00B669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6940"/>
  </w:style>
  <w:style w:type="character" w:styleId="ac">
    <w:name w:val="annotation reference"/>
    <w:basedOn w:val="a0"/>
    <w:uiPriority w:val="99"/>
    <w:semiHidden/>
    <w:unhideWhenUsed/>
    <w:rsid w:val="00AA1343"/>
    <w:rPr>
      <w:sz w:val="16"/>
      <w:szCs w:val="16"/>
    </w:rPr>
  </w:style>
  <w:style w:type="paragraph" w:styleId="ad">
    <w:name w:val="annotation text"/>
    <w:basedOn w:val="a"/>
    <w:link w:val="ae"/>
    <w:uiPriority w:val="99"/>
    <w:unhideWhenUsed/>
    <w:rsid w:val="00AA1343"/>
    <w:pPr>
      <w:spacing w:line="240" w:lineRule="auto"/>
    </w:pPr>
    <w:rPr>
      <w:sz w:val="20"/>
      <w:szCs w:val="20"/>
    </w:rPr>
  </w:style>
  <w:style w:type="character" w:customStyle="1" w:styleId="ae">
    <w:name w:val="Текст примечания Знак"/>
    <w:basedOn w:val="a0"/>
    <w:link w:val="ad"/>
    <w:uiPriority w:val="99"/>
    <w:rsid w:val="00AA1343"/>
    <w:rPr>
      <w:sz w:val="20"/>
      <w:szCs w:val="20"/>
    </w:rPr>
  </w:style>
  <w:style w:type="paragraph" w:styleId="af">
    <w:name w:val="annotation subject"/>
    <w:basedOn w:val="ad"/>
    <w:next w:val="ad"/>
    <w:link w:val="af0"/>
    <w:uiPriority w:val="99"/>
    <w:semiHidden/>
    <w:unhideWhenUsed/>
    <w:rsid w:val="00AA1343"/>
    <w:rPr>
      <w:b/>
      <w:bCs/>
    </w:rPr>
  </w:style>
  <w:style w:type="character" w:customStyle="1" w:styleId="af0">
    <w:name w:val="Тема примечания Знак"/>
    <w:basedOn w:val="ae"/>
    <w:link w:val="af"/>
    <w:uiPriority w:val="99"/>
    <w:semiHidden/>
    <w:rsid w:val="00AA1343"/>
    <w:rPr>
      <w:b/>
      <w:bCs/>
      <w:sz w:val="20"/>
      <w:szCs w:val="20"/>
    </w:rPr>
  </w:style>
  <w:style w:type="character" w:customStyle="1" w:styleId="UnresolvedMention">
    <w:name w:val="Unresolved Mention"/>
    <w:basedOn w:val="a0"/>
    <w:uiPriority w:val="99"/>
    <w:semiHidden/>
    <w:unhideWhenUsed/>
    <w:rsid w:val="00E35636"/>
    <w:rPr>
      <w:color w:val="605E5C"/>
      <w:shd w:val="clear" w:color="auto" w:fill="E1DFDD"/>
    </w:rPr>
  </w:style>
  <w:style w:type="paragraph" w:styleId="af1">
    <w:name w:val="Balloon Text"/>
    <w:basedOn w:val="a"/>
    <w:link w:val="af2"/>
    <w:uiPriority w:val="99"/>
    <w:semiHidden/>
    <w:unhideWhenUsed/>
    <w:rsid w:val="001A655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A6559"/>
    <w:rPr>
      <w:rFonts w:ascii="Segoe UI" w:hAnsi="Segoe UI" w:cs="Segoe UI"/>
      <w:sz w:val="18"/>
      <w:szCs w:val="18"/>
    </w:rPr>
  </w:style>
  <w:style w:type="table" w:styleId="af3">
    <w:name w:val="Table Grid"/>
    <w:basedOn w:val="a1"/>
    <w:uiPriority w:val="39"/>
    <w:rsid w:val="0054686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2919</Characters>
  <Application>Microsoft Office Word</Application>
  <DocSecurity>4</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2024-03-12T13:31:00Z</dcterms:created>
  <dcterms:modified xsi:type="dcterms:W3CDTF">2024-03-12T13:31:00Z</dcterms:modified>
</cp:coreProperties>
</file>