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44BC7" w14:textId="77777777" w:rsidR="0054686C" w:rsidDel="0054686C" w:rsidRDefault="0054686C" w:rsidP="0054686C">
      <w:pPr>
        <w:shd w:val="clear" w:color="auto" w:fill="FFFFFF"/>
        <w:tabs>
          <w:tab w:val="num" w:pos="720"/>
        </w:tabs>
        <w:spacing w:before="120" w:after="120" w:line="312" w:lineRule="auto"/>
        <w:ind w:left="714" w:hanging="357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f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8"/>
      </w:tblGrid>
      <w:tr w:rsidR="0054686C" w:rsidRPr="007B74A2" w14:paraId="24E5EE95" w14:textId="77777777" w:rsidTr="00231BE6">
        <w:trPr>
          <w:trHeight w:val="426"/>
        </w:trPr>
        <w:tc>
          <w:tcPr>
            <w:tcW w:w="4253" w:type="dxa"/>
          </w:tcPr>
          <w:p w14:paraId="17ABC61F" w14:textId="77777777" w:rsidR="0054686C" w:rsidRPr="00295EFB" w:rsidRDefault="0054686C" w:rsidP="00231BE6">
            <w:pPr>
              <w:spacing w:before="60" w:after="6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5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95EF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295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95E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95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95EF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295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95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95E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95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098" w:type="dxa"/>
            <w:vAlign w:val="center"/>
          </w:tcPr>
          <w:p w14:paraId="33DC48E9" w14:textId="77777777" w:rsidR="0054686C" w:rsidRPr="00295EFB" w:rsidRDefault="0054686C" w:rsidP="00231BE6">
            <w:pPr>
              <w:spacing w:line="312" w:lineRule="auto"/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FB">
              <w:rPr>
                <w:rFonts w:ascii="Times New Roman" w:hAnsi="Times New Roman" w:cs="Times New Roman"/>
                <w:sz w:val="24"/>
                <w:szCs w:val="24"/>
              </w:rPr>
              <w:t>В АО АКБ «ЕВРОФИНАНС МОСНАРБАНК»</w:t>
            </w:r>
          </w:p>
        </w:tc>
      </w:tr>
    </w:tbl>
    <w:p w14:paraId="2511AC17" w14:textId="035A4530" w:rsidR="0054686C" w:rsidRPr="00295EFB" w:rsidRDefault="0054686C" w:rsidP="00295EFB">
      <w:pPr>
        <w:shd w:val="clear" w:color="auto" w:fill="FFFFFF"/>
        <w:tabs>
          <w:tab w:val="num" w:pos="720"/>
        </w:tabs>
        <w:spacing w:before="120" w:after="120" w:line="312" w:lineRule="auto"/>
        <w:ind w:left="714" w:hanging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76ACC" w14:textId="77777777" w:rsidR="0054686C" w:rsidRPr="00295EFB" w:rsidRDefault="0054686C" w:rsidP="006A09BF">
      <w:pPr>
        <w:shd w:val="clear" w:color="auto" w:fill="FFFFFF"/>
        <w:tabs>
          <w:tab w:val="num" w:pos="720"/>
        </w:tabs>
        <w:spacing w:before="120" w:after="120" w:line="312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48BD8" w14:textId="6ECE2752" w:rsidR="00C2771E" w:rsidRPr="00295EFB" w:rsidRDefault="00E41BA5" w:rsidP="006A09BF">
      <w:pPr>
        <w:shd w:val="clear" w:color="auto" w:fill="FFFFFF"/>
        <w:tabs>
          <w:tab w:val="num" w:pos="720"/>
        </w:tabs>
        <w:spacing w:before="120" w:after="120" w:line="312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EFB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ДЕЯТЕЛЬНОСТИ ЭМИТЕНТА </w:t>
      </w:r>
      <w:r w:rsidRPr="00295EFB">
        <w:rPr>
          <w:rFonts w:ascii="Times New Roman" w:hAnsi="Times New Roman" w:cs="Times New Roman"/>
          <w:b/>
          <w:bCs/>
          <w:sz w:val="24"/>
          <w:szCs w:val="24"/>
          <w:lang w:val="en-US"/>
        </w:rPr>
        <w:t>[</w:t>
      </w:r>
      <w:r w:rsidRPr="00295EFB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Pr="00295EFB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</w:p>
    <w:p w14:paraId="7E648BD9" w14:textId="77777777" w:rsidR="00FC7EEB" w:rsidRPr="00295EFB" w:rsidRDefault="00E41BA5" w:rsidP="00A74734">
      <w:pPr>
        <w:pStyle w:val="a3"/>
        <w:numPr>
          <w:ilvl w:val="0"/>
          <w:numId w:val="7"/>
        </w:numPr>
        <w:tabs>
          <w:tab w:val="left" w:pos="3668"/>
        </w:tabs>
        <w:spacing w:before="120" w:after="120" w:line="312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EFB">
        <w:rPr>
          <w:rFonts w:ascii="Times New Roman" w:hAnsi="Times New Roman" w:cs="Times New Roman"/>
          <w:b/>
          <w:sz w:val="24"/>
          <w:szCs w:val="24"/>
        </w:rPr>
        <w:t xml:space="preserve">Общие сведения об эмитенте: </w:t>
      </w:r>
    </w:p>
    <w:p w14:paraId="7E648BDA" w14:textId="77777777" w:rsidR="00FC7EEB" w:rsidRPr="00295EFB" w:rsidRDefault="00E41BA5" w:rsidP="00A74734">
      <w:pPr>
        <w:pStyle w:val="a3"/>
        <w:numPr>
          <w:ilvl w:val="1"/>
          <w:numId w:val="8"/>
        </w:numPr>
        <w:tabs>
          <w:tab w:val="left" w:pos="3668"/>
        </w:tabs>
        <w:spacing w:before="120" w:after="120" w:line="312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Краткая характеристика эмитента, история создания и ключевые этапы развития эмитента, адрес страницы в сети Интернет, на которой размещены корпоративные документы эмитента;</w:t>
      </w:r>
    </w:p>
    <w:p w14:paraId="7E648BDB" w14:textId="77777777" w:rsidR="00FC7EEB" w:rsidRPr="00295EFB" w:rsidRDefault="00E41BA5" w:rsidP="00A74734">
      <w:pPr>
        <w:pStyle w:val="a3"/>
        <w:numPr>
          <w:ilvl w:val="1"/>
          <w:numId w:val="8"/>
        </w:numPr>
        <w:tabs>
          <w:tab w:val="left" w:pos="3668"/>
        </w:tabs>
        <w:spacing w:before="120" w:after="120" w:line="312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Стратегия и планы развития деятельности эмитента;</w:t>
      </w:r>
    </w:p>
    <w:p w14:paraId="7E648BDC" w14:textId="77777777" w:rsidR="00FC7EEB" w:rsidRPr="00295EFB" w:rsidRDefault="00E41BA5" w:rsidP="00A74734">
      <w:pPr>
        <w:pStyle w:val="a3"/>
        <w:numPr>
          <w:ilvl w:val="1"/>
          <w:numId w:val="8"/>
        </w:numPr>
        <w:tabs>
          <w:tab w:val="left" w:pos="3668"/>
        </w:tabs>
        <w:spacing w:before="120" w:after="120" w:line="312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Рынок и рыночные позиции эмитента (масштаб деятельности, география присутствия, диверсификация бизнеса, специализация, рыночная ниша). Конкуренты эмитента</w:t>
      </w:r>
      <w:r w:rsidRPr="00295EF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E648BDD" w14:textId="77777777" w:rsidR="00FC7EEB" w:rsidRPr="00295EFB" w:rsidRDefault="00E41BA5" w:rsidP="00A74734">
      <w:pPr>
        <w:pStyle w:val="a3"/>
        <w:numPr>
          <w:ilvl w:val="1"/>
          <w:numId w:val="8"/>
        </w:numPr>
        <w:tabs>
          <w:tab w:val="left" w:pos="3668"/>
        </w:tabs>
        <w:spacing w:before="120" w:after="120" w:line="312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Описание структуры эмитента (группы/холдинга, в которую входит эмитент, подконтрольные организации и зависимые общества), имеющее по мнению эмитента значение для принятия инвестиционных решений;</w:t>
      </w:r>
    </w:p>
    <w:p w14:paraId="7E648BDE" w14:textId="77777777" w:rsidR="00FC7EEB" w:rsidRPr="00295EFB" w:rsidRDefault="00E41BA5" w:rsidP="00A74734">
      <w:pPr>
        <w:pStyle w:val="a3"/>
        <w:numPr>
          <w:ilvl w:val="1"/>
          <w:numId w:val="8"/>
        </w:numPr>
        <w:tabs>
          <w:tab w:val="left" w:pos="3668"/>
        </w:tabs>
        <w:spacing w:before="120" w:after="120" w:line="312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Сведения о кредитных рейтингах эмитента (иных финансовых активов эмитента), в случае их наличия.</w:t>
      </w:r>
    </w:p>
    <w:p w14:paraId="7E648BDF" w14:textId="77777777" w:rsidR="00FC7EEB" w:rsidRPr="00295EFB" w:rsidRDefault="00E41BA5" w:rsidP="00A74734">
      <w:pPr>
        <w:pStyle w:val="a3"/>
        <w:numPr>
          <w:ilvl w:val="0"/>
          <w:numId w:val="7"/>
        </w:numPr>
        <w:tabs>
          <w:tab w:val="left" w:pos="3668"/>
        </w:tabs>
        <w:spacing w:before="120" w:after="120" w:line="312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EFB">
        <w:rPr>
          <w:rFonts w:ascii="Times New Roman" w:hAnsi="Times New Roman" w:cs="Times New Roman"/>
          <w:b/>
          <w:sz w:val="24"/>
          <w:szCs w:val="24"/>
        </w:rPr>
        <w:t>Сведения о финансово-хозяйственной деятельности и финансовом состоянии эмитента:</w:t>
      </w:r>
    </w:p>
    <w:p w14:paraId="7E648BE0" w14:textId="77777777" w:rsidR="00FC7EEB" w:rsidRPr="00295EFB" w:rsidRDefault="00E41BA5" w:rsidP="00A74734">
      <w:pPr>
        <w:pStyle w:val="a3"/>
        <w:numPr>
          <w:ilvl w:val="1"/>
          <w:numId w:val="9"/>
        </w:numPr>
        <w:tabs>
          <w:tab w:val="left" w:pos="3668"/>
        </w:tabs>
        <w:spacing w:before="120" w:after="120" w:line="312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Операционная деятельность (основная деятельность, приносящая выручку) эмитента (основные виды, географические регионы, иная информация) в динамике за последние 24 месяца;</w:t>
      </w:r>
    </w:p>
    <w:p w14:paraId="7E648BE1" w14:textId="77777777" w:rsidR="00FC7EEB" w:rsidRPr="00295EFB" w:rsidRDefault="00E41BA5" w:rsidP="00A74734">
      <w:pPr>
        <w:pStyle w:val="a3"/>
        <w:numPr>
          <w:ilvl w:val="1"/>
          <w:numId w:val="9"/>
        </w:numPr>
        <w:tabs>
          <w:tab w:val="left" w:pos="3668"/>
        </w:tabs>
        <w:spacing w:before="120" w:after="120" w:line="312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Структура активов, обязательств, собственного капитала эмитента в динамике за последние 24 месяца;</w:t>
      </w:r>
    </w:p>
    <w:p w14:paraId="7E648BE2" w14:textId="77777777" w:rsidR="00FC7EEB" w:rsidRPr="00295EFB" w:rsidRDefault="00E41BA5" w:rsidP="00FD7A0D">
      <w:pPr>
        <w:pStyle w:val="a3"/>
        <w:numPr>
          <w:ilvl w:val="1"/>
          <w:numId w:val="9"/>
        </w:numPr>
        <w:tabs>
          <w:tab w:val="left" w:pos="3668"/>
        </w:tabs>
        <w:spacing w:before="120" w:after="120" w:line="312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Кредитная история эмитента за последние 24 месяца;</w:t>
      </w:r>
    </w:p>
    <w:p w14:paraId="7E648BE3" w14:textId="77777777" w:rsidR="00312788" w:rsidRPr="00295EFB" w:rsidRDefault="00E41BA5" w:rsidP="00A74734">
      <w:pPr>
        <w:pStyle w:val="a3"/>
        <w:numPr>
          <w:ilvl w:val="1"/>
          <w:numId w:val="9"/>
        </w:numPr>
        <w:ind w:left="127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Основные кредиторы и дебиторы эмитента на последнюю отчетную дату</w:t>
      </w:r>
      <w:r w:rsidRPr="00295EF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E648BE4" w14:textId="77777777" w:rsidR="00FC7EEB" w:rsidRPr="00295EFB" w:rsidRDefault="00E41BA5" w:rsidP="00A74734">
      <w:pPr>
        <w:pStyle w:val="a3"/>
        <w:numPr>
          <w:ilvl w:val="1"/>
          <w:numId w:val="9"/>
        </w:numPr>
        <w:tabs>
          <w:tab w:val="left" w:pos="3668"/>
        </w:tabs>
        <w:spacing w:before="120" w:after="120" w:line="312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Описание судебных процессов (в случае их наличия), в которых участвует эмитент и которые могут существенно повлиять на финансовое состояние эмитента.</w:t>
      </w:r>
    </w:p>
    <w:p w14:paraId="7E648BE5" w14:textId="77777777" w:rsidR="00516E44" w:rsidRPr="00295EFB" w:rsidRDefault="00E41BA5" w:rsidP="00A74734">
      <w:pPr>
        <w:pStyle w:val="a3"/>
        <w:numPr>
          <w:ilvl w:val="1"/>
          <w:numId w:val="9"/>
        </w:numPr>
        <w:tabs>
          <w:tab w:val="left" w:pos="3668"/>
        </w:tabs>
        <w:spacing w:before="120" w:after="120" w:line="312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Сведения о дефолтах эмитента на организованном рынке ценных бумаг.</w:t>
      </w:r>
    </w:p>
    <w:p w14:paraId="7E648BE6" w14:textId="77777777" w:rsidR="00AF1321" w:rsidRPr="00295EFB" w:rsidRDefault="00E41BA5" w:rsidP="00A74734">
      <w:pPr>
        <w:pStyle w:val="a3"/>
        <w:numPr>
          <w:ilvl w:val="0"/>
          <w:numId w:val="7"/>
        </w:numPr>
        <w:tabs>
          <w:tab w:val="left" w:pos="3668"/>
        </w:tabs>
        <w:spacing w:before="120" w:after="120" w:line="312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EFB">
        <w:rPr>
          <w:rFonts w:ascii="Times New Roman" w:hAnsi="Times New Roman" w:cs="Times New Roman"/>
          <w:b/>
          <w:sz w:val="24"/>
          <w:szCs w:val="24"/>
        </w:rPr>
        <w:t>Основные финансовые показатели эмитента за 12 месяцев отчетного года в сравнении с 12 месяцами предшествующего года (на дату окончания отчетного года в сравнении с показателями на конец предшествующего года):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4196"/>
        <w:gridCol w:w="4389"/>
      </w:tblGrid>
      <w:tr w:rsidR="00D32323" w:rsidRPr="007B74A2" w14:paraId="7E648BEA" w14:textId="77777777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E7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E8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E9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</w:tr>
      <w:tr w:rsidR="00D32323" w:rsidRPr="007B74A2" w14:paraId="7E648BEE" w14:textId="77777777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EB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EC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ED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 учетной политикой эмитента</w:t>
            </w:r>
          </w:p>
        </w:tc>
      </w:tr>
      <w:tr w:rsidR="00D32323" w:rsidRPr="007B74A2" w14:paraId="7E648BF2" w14:textId="77777777" w:rsidTr="00AF13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EF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F0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до вычета расходов по выплате процентов, налогов, износа основных средств и амортизации нематериальных активов (EBITDA),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F1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(убытка) до налогообложения, расходов по выплате процентов, износа основных средств и амортизации нематериальных активов</w:t>
            </w:r>
          </w:p>
        </w:tc>
      </w:tr>
      <w:tr w:rsidR="00D32323" w:rsidRPr="007B74A2" w14:paraId="7E648BF6" w14:textId="77777777" w:rsidTr="00AF13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8BF3" w14:textId="77777777" w:rsidR="00AF1321" w:rsidRPr="00295EFB" w:rsidRDefault="00641172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F4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прибыль до вычета износа основных средств и амортизации нематериальных активов (OIBDA),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F5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операционной прибыли (убытка), износа основных средств и амортизации нематериальных активов</w:t>
            </w:r>
          </w:p>
        </w:tc>
      </w:tr>
      <w:tr w:rsidR="00D32323" w:rsidRPr="007B74A2" w14:paraId="7E648BFA" w14:textId="77777777" w:rsidTr="00AF13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F7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F8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по EBITDA (EBITDA margin),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F9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показателя EBITDA к выручке</w:t>
            </w:r>
          </w:p>
        </w:tc>
      </w:tr>
      <w:tr w:rsidR="00D32323" w:rsidRPr="007B74A2" w14:paraId="7E648BFE" w14:textId="77777777" w:rsidTr="00AF13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8BFB" w14:textId="77777777" w:rsidR="00AF1321" w:rsidRPr="00295EFB" w:rsidRDefault="00641172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FC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по OIBDA (OIBDA margin),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FD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показателя OIBDA к выручке</w:t>
            </w:r>
          </w:p>
        </w:tc>
      </w:tr>
      <w:tr w:rsidR="00D32323" w:rsidRPr="007B74A2" w14:paraId="7E648C02" w14:textId="77777777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BFF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00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01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 учетной политикой эмитента</w:t>
            </w:r>
          </w:p>
        </w:tc>
      </w:tr>
      <w:tr w:rsidR="00D32323" w:rsidRPr="007B74A2" w14:paraId="7E648C06" w14:textId="77777777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03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04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денежные средства, полученные от операционной деятельности, руб.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8C05" w14:textId="77777777" w:rsidR="00AF1321" w:rsidRPr="00295EFB" w:rsidRDefault="00641172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323" w:rsidRPr="007B74A2" w14:paraId="7E648C0A" w14:textId="77777777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07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08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основных средств и нематериальных активов (капитальные затраты), руб.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8C09" w14:textId="77777777" w:rsidR="00AF1321" w:rsidRPr="00295EFB" w:rsidRDefault="00641172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323" w:rsidRPr="007B74A2" w14:paraId="7E648C0E" w14:textId="77777777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0B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0C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денежный поток,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0D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между чистыми денежными средствами, полученными от операционной деятельности, и капитальными затратами</w:t>
            </w:r>
          </w:p>
        </w:tc>
      </w:tr>
      <w:tr w:rsidR="00D32323" w:rsidRPr="007B74A2" w14:paraId="7E648C12" w14:textId="77777777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0F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10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долг,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11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между общим долгом и денежными средствами и их эквивалентами</w:t>
            </w:r>
          </w:p>
        </w:tc>
      </w:tr>
      <w:tr w:rsidR="00D32323" w:rsidRPr="007B74A2" w14:paraId="7E648C16" w14:textId="77777777" w:rsidTr="00AF13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13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14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чистого долга к EBITDA за предыдущие 12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15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чистого долга к EBITDA за предыдущие 12 месяцев</w:t>
            </w:r>
          </w:p>
        </w:tc>
      </w:tr>
      <w:tr w:rsidR="00D32323" w:rsidRPr="007B74A2" w14:paraId="7E648C1A" w14:textId="77777777" w:rsidTr="00AF13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8C17" w14:textId="77777777" w:rsidR="00AF1321" w:rsidRPr="00295EFB" w:rsidRDefault="00641172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18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чистого долга к OIBDA за предыдущие 12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19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чистого долга к OIBDA за предыдущие 12 месяцев</w:t>
            </w:r>
          </w:p>
        </w:tc>
      </w:tr>
      <w:tr w:rsidR="00D32323" w:rsidRPr="007B74A2" w14:paraId="7E648C1E" w14:textId="77777777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1B" w14:textId="77777777" w:rsidR="00AF1321" w:rsidRPr="00295EFB" w:rsidRDefault="00E41BA5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1C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капитала (ROE),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48C1D" w14:textId="77777777" w:rsidR="00AF1321" w:rsidRPr="00295EFB" w:rsidRDefault="00E41BA5" w:rsidP="00AF132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чистой прибыли (убытка) к среднегодовому размеру собственного (акционерного) капитала</w:t>
            </w:r>
          </w:p>
        </w:tc>
      </w:tr>
    </w:tbl>
    <w:p w14:paraId="7E648C1F" w14:textId="740437CB" w:rsidR="00FB5CD6" w:rsidRPr="00295EFB" w:rsidRDefault="00641172" w:rsidP="00AF1321">
      <w:pPr>
        <w:rPr>
          <w:rFonts w:ascii="Times New Roman" w:hAnsi="Times New Roman" w:cs="Times New Roman"/>
          <w:sz w:val="24"/>
          <w:szCs w:val="24"/>
        </w:rPr>
      </w:pPr>
    </w:p>
    <w:p w14:paraId="60DD54F7" w14:textId="27748F0E" w:rsidR="00E41BA5" w:rsidRPr="00295EFB" w:rsidRDefault="00E41BA5" w:rsidP="00AF1321">
      <w:pPr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F93A48D" w14:textId="4BC05E21" w:rsidR="00E41BA5" w:rsidRPr="00295EFB" w:rsidRDefault="00E41BA5" w:rsidP="00295E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Бухгалтерская отчетность Эмитента по РСБУ и МСФО (при наличии) за текущий период календарного года (промежуточная отчетность) и за последний календарный год с приложением пояснительной записки и аудиторского заключения</w:t>
      </w:r>
      <w:r w:rsidR="00940EA5" w:rsidRPr="00295EF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95EFB">
        <w:rPr>
          <w:rFonts w:ascii="Times New Roman" w:hAnsi="Times New Roman" w:cs="Times New Roman"/>
          <w:sz w:val="24"/>
          <w:szCs w:val="24"/>
        </w:rPr>
        <w:t>.</w:t>
      </w:r>
    </w:p>
    <w:p w14:paraId="610EFECB" w14:textId="03A2ABCE" w:rsidR="00940EA5" w:rsidRPr="00295EFB" w:rsidRDefault="00940EA5" w:rsidP="00AF1321">
      <w:pPr>
        <w:rPr>
          <w:rFonts w:ascii="Times New Roman" w:hAnsi="Times New Roman" w:cs="Times New Roman"/>
          <w:sz w:val="24"/>
          <w:szCs w:val="24"/>
        </w:rPr>
      </w:pPr>
    </w:p>
    <w:p w14:paraId="12A5A853" w14:textId="59D61389" w:rsidR="00940EA5" w:rsidRPr="00295EFB" w:rsidRDefault="00940EA5" w:rsidP="00AF1321">
      <w:pPr>
        <w:rPr>
          <w:rFonts w:ascii="Times New Roman" w:hAnsi="Times New Roman" w:cs="Times New Roman"/>
          <w:sz w:val="24"/>
          <w:szCs w:val="24"/>
        </w:rPr>
      </w:pPr>
    </w:p>
    <w:p w14:paraId="04B84983" w14:textId="3A84AAD0" w:rsidR="00940EA5" w:rsidRPr="00295EFB" w:rsidRDefault="00940EA5" w:rsidP="00AF1321">
      <w:pPr>
        <w:rPr>
          <w:rFonts w:ascii="Times New Roman" w:hAnsi="Times New Roman" w:cs="Times New Roman"/>
          <w:sz w:val="24"/>
          <w:szCs w:val="24"/>
        </w:rPr>
      </w:pPr>
    </w:p>
    <w:p w14:paraId="0E99B26D" w14:textId="0EFEEF69" w:rsidR="00940EA5" w:rsidRPr="00295EFB" w:rsidRDefault="00940EA5" w:rsidP="00295EFB">
      <w:pPr>
        <w:jc w:val="right"/>
        <w:rPr>
          <w:rFonts w:ascii="Times New Roman" w:hAnsi="Times New Roman" w:cs="Times New Roman"/>
          <w:sz w:val="24"/>
          <w:szCs w:val="24"/>
        </w:rPr>
      </w:pPr>
      <w:r w:rsidRPr="00295EFB"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</w:p>
    <w:p w14:paraId="7428D354" w14:textId="1FFC9C4F" w:rsidR="0054686C" w:rsidRPr="00295EFB" w:rsidRDefault="0054686C" w:rsidP="00AF1321">
      <w:pPr>
        <w:rPr>
          <w:rFonts w:ascii="Times New Roman" w:hAnsi="Times New Roman" w:cs="Times New Roman"/>
          <w:sz w:val="24"/>
          <w:szCs w:val="24"/>
        </w:rPr>
      </w:pPr>
    </w:p>
    <w:p w14:paraId="390534E7" w14:textId="77777777" w:rsidR="0054686C" w:rsidRPr="00295EFB" w:rsidRDefault="0054686C" w:rsidP="00AF1321">
      <w:pPr>
        <w:rPr>
          <w:rFonts w:ascii="Times New Roman" w:hAnsi="Times New Roman" w:cs="Times New Roman"/>
          <w:sz w:val="24"/>
          <w:szCs w:val="24"/>
        </w:rPr>
      </w:pPr>
    </w:p>
    <w:sectPr w:rsidR="0054686C" w:rsidRPr="00295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48C26" w14:textId="77777777" w:rsidR="00E409AA" w:rsidRDefault="00E41BA5">
      <w:pPr>
        <w:spacing w:after="0" w:line="240" w:lineRule="auto"/>
      </w:pPr>
      <w:r>
        <w:separator/>
      </w:r>
    </w:p>
  </w:endnote>
  <w:endnote w:type="continuationSeparator" w:id="0">
    <w:p w14:paraId="7E648C28" w14:textId="77777777" w:rsidR="00E409AA" w:rsidRDefault="00E4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5090E" w14:textId="77777777" w:rsidR="00641172" w:rsidRDefault="006411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78937545"/>
      <w:docPartObj>
        <w:docPartGallery w:val="Page Numbers (Bottom of Page)"/>
        <w:docPartUnique/>
      </w:docPartObj>
    </w:sdtPr>
    <w:sdtEndPr/>
    <w:sdtContent>
      <w:p w14:paraId="7E648C20" w14:textId="14932BE2" w:rsidR="00B66940" w:rsidRPr="00A74734" w:rsidRDefault="00E41BA5">
        <w:pPr>
          <w:pStyle w:val="aa"/>
          <w:jc w:val="right"/>
          <w:rPr>
            <w:rFonts w:ascii="Arial" w:hAnsi="Arial" w:cs="Arial"/>
            <w:sz w:val="20"/>
            <w:szCs w:val="20"/>
          </w:rPr>
        </w:pPr>
        <w:r w:rsidRPr="00A74734">
          <w:rPr>
            <w:rFonts w:ascii="Arial" w:hAnsi="Arial" w:cs="Arial"/>
            <w:sz w:val="20"/>
            <w:szCs w:val="20"/>
          </w:rPr>
          <w:fldChar w:fldCharType="begin"/>
        </w:r>
        <w:r w:rsidRPr="00A74734">
          <w:rPr>
            <w:rFonts w:ascii="Arial" w:hAnsi="Arial" w:cs="Arial"/>
            <w:sz w:val="20"/>
            <w:szCs w:val="20"/>
          </w:rPr>
          <w:instrText>PAGE   \* MERGEFORMAT</w:instrText>
        </w:r>
        <w:r w:rsidRPr="00A74734">
          <w:rPr>
            <w:rFonts w:ascii="Arial" w:hAnsi="Arial" w:cs="Arial"/>
            <w:sz w:val="20"/>
            <w:szCs w:val="20"/>
          </w:rPr>
          <w:fldChar w:fldCharType="separate"/>
        </w:r>
        <w:r w:rsidR="00641172">
          <w:rPr>
            <w:rFonts w:ascii="Arial" w:hAnsi="Arial" w:cs="Arial"/>
            <w:noProof/>
            <w:sz w:val="20"/>
            <w:szCs w:val="20"/>
          </w:rPr>
          <w:t>1</w:t>
        </w:r>
        <w:r w:rsidRPr="00A7473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648C21" w14:textId="77777777" w:rsidR="00B66940" w:rsidRPr="00A74734" w:rsidRDefault="00641172">
    <w:pPr>
      <w:pStyle w:val="a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F84E4" w14:textId="77777777" w:rsidR="00641172" w:rsidRDefault="006411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48C22" w14:textId="77777777" w:rsidR="00E409AA" w:rsidRDefault="00E41BA5">
      <w:pPr>
        <w:spacing w:after="0" w:line="240" w:lineRule="auto"/>
      </w:pPr>
      <w:r>
        <w:separator/>
      </w:r>
    </w:p>
  </w:footnote>
  <w:footnote w:type="continuationSeparator" w:id="0">
    <w:p w14:paraId="7E648C24" w14:textId="77777777" w:rsidR="00E409AA" w:rsidRDefault="00E4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06970" w14:textId="77777777" w:rsidR="00641172" w:rsidRDefault="006411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88DA2" w14:textId="77777777" w:rsidR="00641172" w:rsidRDefault="0064117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0F36E" w14:textId="77777777" w:rsidR="00641172" w:rsidRDefault="006411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4362"/>
    <w:multiLevelType w:val="multilevel"/>
    <w:tmpl w:val="05D2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9BA4360"/>
    <w:multiLevelType w:val="multilevel"/>
    <w:tmpl w:val="04F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D1687"/>
    <w:multiLevelType w:val="multilevel"/>
    <w:tmpl w:val="D3367EA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8736" w:hanging="108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3" w15:restartNumberingAfterBreak="0">
    <w:nsid w:val="1AC93D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5E118C"/>
    <w:multiLevelType w:val="hybridMultilevel"/>
    <w:tmpl w:val="8FA05AEE"/>
    <w:lvl w:ilvl="0" w:tplc="9AEA7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C12A8" w:tentative="1">
      <w:start w:val="1"/>
      <w:numFmt w:val="lowerLetter"/>
      <w:lvlText w:val="%2."/>
      <w:lvlJc w:val="left"/>
      <w:pPr>
        <w:ind w:left="1440" w:hanging="360"/>
      </w:pPr>
    </w:lvl>
    <w:lvl w:ilvl="2" w:tplc="23F4B658" w:tentative="1">
      <w:start w:val="1"/>
      <w:numFmt w:val="lowerRoman"/>
      <w:lvlText w:val="%3."/>
      <w:lvlJc w:val="right"/>
      <w:pPr>
        <w:ind w:left="2160" w:hanging="180"/>
      </w:pPr>
    </w:lvl>
    <w:lvl w:ilvl="3" w:tplc="0310E64E" w:tentative="1">
      <w:start w:val="1"/>
      <w:numFmt w:val="decimal"/>
      <w:lvlText w:val="%4."/>
      <w:lvlJc w:val="left"/>
      <w:pPr>
        <w:ind w:left="2880" w:hanging="360"/>
      </w:pPr>
    </w:lvl>
    <w:lvl w:ilvl="4" w:tplc="FCD2A970" w:tentative="1">
      <w:start w:val="1"/>
      <w:numFmt w:val="lowerLetter"/>
      <w:lvlText w:val="%5."/>
      <w:lvlJc w:val="left"/>
      <w:pPr>
        <w:ind w:left="3600" w:hanging="360"/>
      </w:pPr>
    </w:lvl>
    <w:lvl w:ilvl="5" w:tplc="DD582860" w:tentative="1">
      <w:start w:val="1"/>
      <w:numFmt w:val="lowerRoman"/>
      <w:lvlText w:val="%6."/>
      <w:lvlJc w:val="right"/>
      <w:pPr>
        <w:ind w:left="4320" w:hanging="180"/>
      </w:pPr>
    </w:lvl>
    <w:lvl w:ilvl="6" w:tplc="50C2AF96" w:tentative="1">
      <w:start w:val="1"/>
      <w:numFmt w:val="decimal"/>
      <w:lvlText w:val="%7."/>
      <w:lvlJc w:val="left"/>
      <w:pPr>
        <w:ind w:left="5040" w:hanging="360"/>
      </w:pPr>
    </w:lvl>
    <w:lvl w:ilvl="7" w:tplc="B43861BE" w:tentative="1">
      <w:start w:val="1"/>
      <w:numFmt w:val="lowerLetter"/>
      <w:lvlText w:val="%8."/>
      <w:lvlJc w:val="left"/>
      <w:pPr>
        <w:ind w:left="5760" w:hanging="360"/>
      </w:pPr>
    </w:lvl>
    <w:lvl w:ilvl="8" w:tplc="46B27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47AAF"/>
    <w:multiLevelType w:val="multilevel"/>
    <w:tmpl w:val="6DD4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E60FE"/>
    <w:multiLevelType w:val="multilevel"/>
    <w:tmpl w:val="6B503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5101EDB"/>
    <w:multiLevelType w:val="multilevel"/>
    <w:tmpl w:val="C7AED9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8736" w:hanging="108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8" w15:restartNumberingAfterBreak="0">
    <w:nsid w:val="6BD475BE"/>
    <w:multiLevelType w:val="multilevel"/>
    <w:tmpl w:val="ACE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E17E5"/>
    <w:multiLevelType w:val="hybridMultilevel"/>
    <w:tmpl w:val="C2A49512"/>
    <w:lvl w:ilvl="0" w:tplc="C90C56D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85664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97562F5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EF664D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B3AC2C8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A04B6D8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6ACFC56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04203B2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31C03E8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23"/>
    <w:rsid w:val="001A6559"/>
    <w:rsid w:val="00295EFB"/>
    <w:rsid w:val="0054686C"/>
    <w:rsid w:val="00641172"/>
    <w:rsid w:val="00676FBD"/>
    <w:rsid w:val="007B74A2"/>
    <w:rsid w:val="00940EA5"/>
    <w:rsid w:val="00D32323"/>
    <w:rsid w:val="00E409AA"/>
    <w:rsid w:val="00E41BA5"/>
    <w:rsid w:val="00F3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48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6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A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A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D70167"/>
    <w:pPr>
      <w:spacing w:after="0" w:line="240" w:lineRule="auto"/>
    </w:pPr>
  </w:style>
  <w:style w:type="character" w:styleId="a7">
    <w:name w:val="footnote reference"/>
    <w:uiPriority w:val="99"/>
    <w:semiHidden/>
    <w:unhideWhenUsed/>
    <w:rsid w:val="00FC7EE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6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940"/>
  </w:style>
  <w:style w:type="paragraph" w:styleId="aa">
    <w:name w:val="footer"/>
    <w:basedOn w:val="a"/>
    <w:link w:val="ab"/>
    <w:uiPriority w:val="99"/>
    <w:unhideWhenUsed/>
    <w:rsid w:val="00B6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940"/>
  </w:style>
  <w:style w:type="character" w:styleId="ac">
    <w:name w:val="annotation reference"/>
    <w:basedOn w:val="a0"/>
    <w:uiPriority w:val="99"/>
    <w:semiHidden/>
    <w:unhideWhenUsed/>
    <w:rsid w:val="00AA134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A13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A13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13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134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3563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1A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6559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5468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2023-10-16T14:45:00Z</dcterms:created>
  <dcterms:modified xsi:type="dcterms:W3CDTF">2023-10-16T14:45:00Z</dcterms:modified>
</cp:coreProperties>
</file>